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24B686">
      <w:pPr>
        <w:spacing w:before="312" w:beforeLines="100" w:after="312" w:afterLines="100" w:line="560" w:lineRule="exact"/>
        <w:jc w:val="left"/>
        <w:rPr>
          <w:rFonts w:ascii="黑体" w:hAnsi="黑体" w:eastAsia="黑体"/>
          <w:bCs/>
          <w:spacing w:val="-16"/>
          <w:sz w:val="36"/>
          <w:szCs w:val="44"/>
        </w:rPr>
      </w:pPr>
      <w:bookmarkStart w:id="1" w:name="_GoBack"/>
      <w:bookmarkEnd w:id="1"/>
      <w:bookmarkStart w:id="0" w:name="_Hlk224743297"/>
      <w:r>
        <w:rPr>
          <w:rFonts w:hint="eastAsia" w:ascii="黑体" w:hAnsi="黑体" w:eastAsia="黑体"/>
          <w:bCs/>
          <w:spacing w:val="-16"/>
          <w:sz w:val="36"/>
          <w:szCs w:val="44"/>
        </w:rPr>
        <w:t>附件</w:t>
      </w:r>
    </w:p>
    <w:p w14:paraId="2B7B2433">
      <w:pPr>
        <w:spacing w:before="312" w:beforeLines="100" w:after="312" w:afterLines="100" w:line="560" w:lineRule="exact"/>
        <w:jc w:val="center"/>
        <w:rPr>
          <w:rFonts w:ascii="方正小标宋简体" w:hAnsi="方正小标宋简体" w:eastAsia="方正小标宋简体"/>
          <w:bCs/>
          <w:spacing w:val="-20"/>
          <w:sz w:val="36"/>
          <w:szCs w:val="36"/>
        </w:rPr>
      </w:pPr>
      <w:r>
        <w:rPr>
          <w:rFonts w:hint="eastAsia" w:ascii="方正小标宋简体" w:hAnsi="方正小标宋简体" w:eastAsia="方正小标宋简体"/>
          <w:bCs/>
          <w:spacing w:val="-20"/>
          <w:sz w:val="36"/>
          <w:szCs w:val="36"/>
        </w:rPr>
        <w:t>合肥理工学院2026年度高层次人才引进岗位表（第二批）</w:t>
      </w:r>
      <w:bookmarkEnd w:id="0"/>
    </w:p>
    <w:tbl>
      <w:tblPr>
        <w:tblStyle w:val="5"/>
        <w:tblW w:w="106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7"/>
        <w:gridCol w:w="1056"/>
        <w:gridCol w:w="838"/>
        <w:gridCol w:w="3718"/>
        <w:gridCol w:w="702"/>
        <w:gridCol w:w="702"/>
        <w:gridCol w:w="1261"/>
        <w:gridCol w:w="848"/>
      </w:tblGrid>
      <w:tr w14:paraId="4FBC6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1517" w:type="dxa"/>
            <w:vMerge w:val="restart"/>
            <w:vAlign w:val="center"/>
          </w:tcPr>
          <w:p w14:paraId="2E28731F"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岗位</w:t>
            </w:r>
          </w:p>
        </w:tc>
        <w:tc>
          <w:tcPr>
            <w:tcW w:w="1056" w:type="dxa"/>
            <w:vMerge w:val="restart"/>
            <w:vAlign w:val="center"/>
          </w:tcPr>
          <w:p w14:paraId="60D547BF"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岗位代码</w:t>
            </w:r>
          </w:p>
        </w:tc>
        <w:tc>
          <w:tcPr>
            <w:tcW w:w="838" w:type="dxa"/>
            <w:vMerge w:val="restart"/>
            <w:vAlign w:val="center"/>
          </w:tcPr>
          <w:p w14:paraId="712E6245"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招聘人数</w:t>
            </w:r>
          </w:p>
        </w:tc>
        <w:tc>
          <w:tcPr>
            <w:tcW w:w="6383" w:type="dxa"/>
            <w:gridSpan w:val="4"/>
            <w:vAlign w:val="center"/>
          </w:tcPr>
          <w:p w14:paraId="1B7CE2E3"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岗位条件和要求</w:t>
            </w:r>
          </w:p>
        </w:tc>
        <w:tc>
          <w:tcPr>
            <w:tcW w:w="848" w:type="dxa"/>
            <w:vMerge w:val="restart"/>
            <w:vAlign w:val="center"/>
          </w:tcPr>
          <w:p w14:paraId="2118CEA5"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备注</w:t>
            </w:r>
          </w:p>
        </w:tc>
      </w:tr>
      <w:tr w14:paraId="305DD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1517" w:type="dxa"/>
            <w:vMerge w:val="continue"/>
            <w:vAlign w:val="center"/>
          </w:tcPr>
          <w:p w14:paraId="09051CE9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  <w:tc>
          <w:tcPr>
            <w:tcW w:w="1056" w:type="dxa"/>
            <w:vMerge w:val="continue"/>
            <w:vAlign w:val="center"/>
          </w:tcPr>
          <w:p w14:paraId="2432D463"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838" w:type="dxa"/>
            <w:vMerge w:val="continue"/>
            <w:vAlign w:val="center"/>
          </w:tcPr>
          <w:p w14:paraId="4D0AA737"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  <w:tc>
          <w:tcPr>
            <w:tcW w:w="3718" w:type="dxa"/>
            <w:vAlign w:val="center"/>
          </w:tcPr>
          <w:p w14:paraId="2CBDCD3C"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专业</w:t>
            </w:r>
          </w:p>
        </w:tc>
        <w:tc>
          <w:tcPr>
            <w:tcW w:w="702" w:type="dxa"/>
            <w:vAlign w:val="center"/>
          </w:tcPr>
          <w:p w14:paraId="087751FD"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学历</w:t>
            </w:r>
          </w:p>
        </w:tc>
        <w:tc>
          <w:tcPr>
            <w:tcW w:w="702" w:type="dxa"/>
            <w:vAlign w:val="center"/>
          </w:tcPr>
          <w:p w14:paraId="64910C8F"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学位</w:t>
            </w:r>
          </w:p>
        </w:tc>
        <w:tc>
          <w:tcPr>
            <w:tcW w:w="1261" w:type="dxa"/>
            <w:vAlign w:val="center"/>
          </w:tcPr>
          <w:p w14:paraId="2B9BA5E3"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年龄</w:t>
            </w:r>
          </w:p>
        </w:tc>
        <w:tc>
          <w:tcPr>
            <w:tcW w:w="848" w:type="dxa"/>
            <w:vMerge w:val="continue"/>
            <w:vAlign w:val="center"/>
          </w:tcPr>
          <w:p w14:paraId="0D37CA70">
            <w:pPr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sz w:val="28"/>
                <w:szCs w:val="28"/>
              </w:rPr>
            </w:pPr>
          </w:p>
        </w:tc>
      </w:tr>
      <w:tr w14:paraId="33F3C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517" w:type="dxa"/>
            <w:vMerge w:val="restart"/>
            <w:vAlign w:val="center"/>
          </w:tcPr>
          <w:p w14:paraId="1C04043A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教学科研岗</w:t>
            </w:r>
          </w:p>
        </w:tc>
        <w:tc>
          <w:tcPr>
            <w:tcW w:w="1056" w:type="dxa"/>
            <w:vAlign w:val="center"/>
          </w:tcPr>
          <w:p w14:paraId="6122DAF1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2026</w:t>
            </w:r>
            <w:r>
              <w:rPr>
                <w:rFonts w:ascii="仿宋" w:hAnsi="仿宋" w:eastAsia="仿宋" w:cs="仿宋"/>
                <w:bCs/>
                <w:sz w:val="24"/>
              </w:rPr>
              <w:t>2</w:t>
            </w:r>
            <w:r>
              <w:rPr>
                <w:rFonts w:hint="eastAsia" w:ascii="仿宋" w:hAnsi="仿宋" w:eastAsia="仿宋" w:cs="仿宋"/>
                <w:bCs/>
                <w:sz w:val="24"/>
              </w:rPr>
              <w:t>01</w:t>
            </w:r>
          </w:p>
        </w:tc>
        <w:tc>
          <w:tcPr>
            <w:tcW w:w="838" w:type="dxa"/>
            <w:vAlign w:val="center"/>
          </w:tcPr>
          <w:p w14:paraId="11364065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ascii="仿宋" w:hAnsi="仿宋" w:eastAsia="仿宋" w:cs="仿宋"/>
                <w:bCs/>
                <w:sz w:val="24"/>
              </w:rPr>
              <w:t>2</w:t>
            </w:r>
          </w:p>
        </w:tc>
        <w:tc>
          <w:tcPr>
            <w:tcW w:w="3718" w:type="dxa"/>
            <w:vAlign w:val="center"/>
          </w:tcPr>
          <w:p w14:paraId="69512B4B">
            <w:pPr>
              <w:tabs>
                <w:tab w:val="left" w:pos="1680"/>
              </w:tabs>
              <w:spacing w:line="260" w:lineRule="exact"/>
              <w:jc w:val="left"/>
              <w:rPr>
                <w:rFonts w:ascii="仿宋" w:hAnsi="仿宋" w:eastAsia="仿宋" w:cs="仿宋"/>
                <w:bCs/>
                <w:sz w:val="22"/>
              </w:rPr>
            </w:pPr>
            <w:r>
              <w:rPr>
                <w:rFonts w:hint="eastAsia" w:ascii="仿宋" w:hAnsi="仿宋" w:eastAsia="仿宋" w:cs="仿宋"/>
                <w:bCs/>
                <w:sz w:val="22"/>
              </w:rPr>
              <w:t>车辆工程、交通运输工程、交通运输</w:t>
            </w:r>
          </w:p>
        </w:tc>
        <w:tc>
          <w:tcPr>
            <w:tcW w:w="702" w:type="dxa"/>
            <w:vMerge w:val="restart"/>
            <w:vAlign w:val="center"/>
          </w:tcPr>
          <w:p w14:paraId="69F6DCD2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博士</w:t>
            </w:r>
          </w:p>
          <w:p w14:paraId="3E8258CE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研究生</w:t>
            </w:r>
          </w:p>
        </w:tc>
        <w:tc>
          <w:tcPr>
            <w:tcW w:w="702" w:type="dxa"/>
            <w:vMerge w:val="restart"/>
            <w:vAlign w:val="center"/>
          </w:tcPr>
          <w:p w14:paraId="29959B9F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博士</w:t>
            </w:r>
          </w:p>
        </w:tc>
        <w:tc>
          <w:tcPr>
            <w:tcW w:w="1261" w:type="dxa"/>
            <w:vMerge w:val="restart"/>
            <w:vAlign w:val="center"/>
          </w:tcPr>
          <w:p w14:paraId="6B7FF2DC">
            <w:pPr>
              <w:spacing w:line="400" w:lineRule="exact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3</w:t>
            </w:r>
            <w:r>
              <w:rPr>
                <w:rFonts w:ascii="仿宋" w:hAnsi="仿宋" w:eastAsia="仿宋" w:cs="仿宋"/>
                <w:bCs/>
                <w:sz w:val="24"/>
              </w:rPr>
              <w:t>8</w:t>
            </w:r>
            <w:r>
              <w:rPr>
                <w:rFonts w:hint="eastAsia" w:ascii="仿宋" w:hAnsi="仿宋" w:eastAsia="仿宋" w:cs="仿宋"/>
                <w:bCs/>
                <w:sz w:val="24"/>
              </w:rPr>
              <w:t>周岁及以下，具有副高级及以上职称年龄放宽至45周岁及以下</w:t>
            </w:r>
          </w:p>
        </w:tc>
        <w:tc>
          <w:tcPr>
            <w:tcW w:w="848" w:type="dxa"/>
            <w:vMerge w:val="restart"/>
            <w:vAlign w:val="center"/>
          </w:tcPr>
          <w:p w14:paraId="2694C26E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</w:tr>
      <w:tr w14:paraId="5F805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517" w:type="dxa"/>
            <w:vMerge w:val="continue"/>
            <w:vAlign w:val="center"/>
          </w:tcPr>
          <w:p w14:paraId="2B32C040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55062074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2026</w:t>
            </w:r>
            <w:r>
              <w:rPr>
                <w:rFonts w:ascii="仿宋" w:hAnsi="仿宋" w:eastAsia="仿宋" w:cs="仿宋"/>
                <w:bCs/>
                <w:sz w:val="24"/>
              </w:rPr>
              <w:t>2</w:t>
            </w:r>
            <w:r>
              <w:rPr>
                <w:rFonts w:hint="eastAsia" w:ascii="仿宋" w:hAnsi="仿宋" w:eastAsia="仿宋" w:cs="仿宋"/>
                <w:bCs/>
                <w:sz w:val="24"/>
              </w:rPr>
              <w:t>02</w:t>
            </w:r>
          </w:p>
        </w:tc>
        <w:tc>
          <w:tcPr>
            <w:tcW w:w="838" w:type="dxa"/>
            <w:vAlign w:val="center"/>
          </w:tcPr>
          <w:p w14:paraId="6717EDBC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ascii="仿宋" w:hAnsi="仿宋" w:eastAsia="仿宋" w:cs="仿宋"/>
                <w:bCs/>
                <w:sz w:val="24"/>
              </w:rPr>
              <w:t>4</w:t>
            </w:r>
          </w:p>
        </w:tc>
        <w:tc>
          <w:tcPr>
            <w:tcW w:w="3718" w:type="dxa"/>
            <w:vAlign w:val="center"/>
          </w:tcPr>
          <w:p w14:paraId="1C083F35">
            <w:pPr>
              <w:tabs>
                <w:tab w:val="left" w:pos="1680"/>
              </w:tabs>
              <w:spacing w:line="260" w:lineRule="exact"/>
              <w:jc w:val="left"/>
              <w:rPr>
                <w:rFonts w:ascii="仿宋" w:hAnsi="仿宋" w:eastAsia="仿宋" w:cs="仿宋"/>
                <w:bCs/>
                <w:sz w:val="22"/>
              </w:rPr>
            </w:pPr>
            <w:r>
              <w:rPr>
                <w:rFonts w:hint="eastAsia" w:ascii="仿宋" w:hAnsi="仿宋" w:eastAsia="仿宋" w:cs="仿宋"/>
                <w:bCs/>
                <w:sz w:val="22"/>
              </w:rPr>
              <w:t>机械、机械工程、机械制造及其自动化、机械制造技术、材料科学与工程</w:t>
            </w:r>
          </w:p>
        </w:tc>
        <w:tc>
          <w:tcPr>
            <w:tcW w:w="702" w:type="dxa"/>
            <w:vMerge w:val="continue"/>
            <w:vAlign w:val="center"/>
          </w:tcPr>
          <w:p w14:paraId="036D9C0A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  <w:tc>
          <w:tcPr>
            <w:tcW w:w="702" w:type="dxa"/>
            <w:vMerge w:val="continue"/>
            <w:vAlign w:val="center"/>
          </w:tcPr>
          <w:p w14:paraId="1F07DF8F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  <w:tc>
          <w:tcPr>
            <w:tcW w:w="1261" w:type="dxa"/>
            <w:vMerge w:val="continue"/>
            <w:vAlign w:val="center"/>
          </w:tcPr>
          <w:p w14:paraId="0C184612">
            <w:pPr>
              <w:spacing w:line="400" w:lineRule="exact"/>
              <w:rPr>
                <w:rFonts w:ascii="仿宋" w:hAnsi="仿宋" w:eastAsia="仿宋" w:cs="仿宋"/>
                <w:bCs/>
                <w:sz w:val="24"/>
              </w:rPr>
            </w:pPr>
          </w:p>
        </w:tc>
        <w:tc>
          <w:tcPr>
            <w:tcW w:w="848" w:type="dxa"/>
            <w:vMerge w:val="continue"/>
            <w:vAlign w:val="center"/>
          </w:tcPr>
          <w:p w14:paraId="1A44E134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</w:tr>
      <w:tr w14:paraId="29CE1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517" w:type="dxa"/>
            <w:vMerge w:val="continue"/>
            <w:vAlign w:val="center"/>
          </w:tcPr>
          <w:p w14:paraId="59CAC4C5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52EBA35D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2026</w:t>
            </w:r>
            <w:r>
              <w:rPr>
                <w:rFonts w:ascii="仿宋" w:hAnsi="仿宋" w:eastAsia="仿宋" w:cs="仿宋"/>
                <w:bCs/>
                <w:sz w:val="24"/>
              </w:rPr>
              <w:t>2</w:t>
            </w:r>
            <w:r>
              <w:rPr>
                <w:rFonts w:hint="eastAsia" w:ascii="仿宋" w:hAnsi="仿宋" w:eastAsia="仿宋" w:cs="仿宋"/>
                <w:bCs/>
                <w:sz w:val="24"/>
              </w:rPr>
              <w:t>0</w:t>
            </w:r>
            <w:r>
              <w:rPr>
                <w:rFonts w:ascii="仿宋" w:hAnsi="仿宋" w:eastAsia="仿宋" w:cs="仿宋"/>
                <w:bCs/>
                <w:sz w:val="24"/>
              </w:rPr>
              <w:t>3</w:t>
            </w:r>
          </w:p>
        </w:tc>
        <w:tc>
          <w:tcPr>
            <w:tcW w:w="838" w:type="dxa"/>
            <w:vAlign w:val="center"/>
          </w:tcPr>
          <w:p w14:paraId="34E712E8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2</w:t>
            </w:r>
          </w:p>
        </w:tc>
        <w:tc>
          <w:tcPr>
            <w:tcW w:w="3718" w:type="dxa"/>
            <w:vAlign w:val="center"/>
          </w:tcPr>
          <w:p w14:paraId="1FCD2C3E">
            <w:pPr>
              <w:tabs>
                <w:tab w:val="left" w:pos="1680"/>
              </w:tabs>
              <w:spacing w:line="260" w:lineRule="exact"/>
              <w:jc w:val="left"/>
              <w:rPr>
                <w:rFonts w:ascii="仿宋" w:hAnsi="仿宋" w:eastAsia="仿宋" w:cs="仿宋"/>
                <w:bCs/>
                <w:sz w:val="22"/>
              </w:rPr>
            </w:pPr>
            <w:r>
              <w:rPr>
                <w:rFonts w:hint="eastAsia" w:ascii="仿宋" w:hAnsi="仿宋" w:eastAsia="仿宋" w:cs="仿宋"/>
                <w:bCs/>
                <w:sz w:val="22"/>
              </w:rPr>
              <w:t>核科学与技术、核技术及应用、核能科学与工程</w:t>
            </w:r>
          </w:p>
        </w:tc>
        <w:tc>
          <w:tcPr>
            <w:tcW w:w="702" w:type="dxa"/>
            <w:vMerge w:val="continue"/>
            <w:vAlign w:val="center"/>
          </w:tcPr>
          <w:p w14:paraId="1D2717D3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  <w:tc>
          <w:tcPr>
            <w:tcW w:w="702" w:type="dxa"/>
            <w:vMerge w:val="continue"/>
            <w:vAlign w:val="center"/>
          </w:tcPr>
          <w:p w14:paraId="7FC9B032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  <w:tc>
          <w:tcPr>
            <w:tcW w:w="1261" w:type="dxa"/>
            <w:vMerge w:val="continue"/>
            <w:vAlign w:val="center"/>
          </w:tcPr>
          <w:p w14:paraId="7779775B">
            <w:pPr>
              <w:spacing w:line="400" w:lineRule="exact"/>
              <w:rPr>
                <w:rFonts w:ascii="仿宋" w:hAnsi="仿宋" w:eastAsia="仿宋" w:cs="仿宋"/>
                <w:bCs/>
                <w:sz w:val="24"/>
              </w:rPr>
            </w:pPr>
          </w:p>
        </w:tc>
        <w:tc>
          <w:tcPr>
            <w:tcW w:w="848" w:type="dxa"/>
            <w:vMerge w:val="continue"/>
            <w:vAlign w:val="center"/>
          </w:tcPr>
          <w:p w14:paraId="09E4CE61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</w:tr>
      <w:tr w14:paraId="2D38F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517" w:type="dxa"/>
            <w:vMerge w:val="continue"/>
            <w:vAlign w:val="center"/>
          </w:tcPr>
          <w:p w14:paraId="634EB587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5D96E9D0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2</w:t>
            </w:r>
            <w:r>
              <w:rPr>
                <w:rFonts w:ascii="仿宋" w:hAnsi="仿宋" w:eastAsia="仿宋" w:cs="仿宋"/>
                <w:bCs/>
                <w:sz w:val="24"/>
              </w:rPr>
              <w:t>026204</w:t>
            </w:r>
          </w:p>
        </w:tc>
        <w:tc>
          <w:tcPr>
            <w:tcW w:w="838" w:type="dxa"/>
            <w:vAlign w:val="center"/>
          </w:tcPr>
          <w:p w14:paraId="0194AE60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ascii="仿宋" w:hAnsi="仿宋" w:eastAsia="仿宋" w:cs="仿宋"/>
                <w:bCs/>
                <w:sz w:val="24"/>
              </w:rPr>
              <w:t>2</w:t>
            </w:r>
          </w:p>
        </w:tc>
        <w:tc>
          <w:tcPr>
            <w:tcW w:w="3718" w:type="dxa"/>
            <w:vAlign w:val="center"/>
          </w:tcPr>
          <w:p w14:paraId="3FF25C3C">
            <w:pPr>
              <w:tabs>
                <w:tab w:val="left" w:pos="1680"/>
              </w:tabs>
              <w:spacing w:line="260" w:lineRule="exact"/>
              <w:jc w:val="left"/>
              <w:rPr>
                <w:rFonts w:ascii="仿宋" w:hAnsi="仿宋" w:eastAsia="仿宋" w:cs="仿宋"/>
                <w:bCs/>
                <w:sz w:val="22"/>
              </w:rPr>
            </w:pPr>
            <w:r>
              <w:rPr>
                <w:rFonts w:hint="eastAsia" w:ascii="仿宋" w:hAnsi="仿宋" w:eastAsia="仿宋" w:cs="仿宋"/>
                <w:bCs/>
                <w:sz w:val="22"/>
              </w:rPr>
              <w:t>集成电路、集成电路科学与工程、仪器科学与技术、控制科学与工程、电子信息、计算机科学与技术</w:t>
            </w:r>
          </w:p>
        </w:tc>
        <w:tc>
          <w:tcPr>
            <w:tcW w:w="702" w:type="dxa"/>
            <w:vMerge w:val="continue"/>
            <w:vAlign w:val="center"/>
          </w:tcPr>
          <w:p w14:paraId="4FC94EF3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  <w:tc>
          <w:tcPr>
            <w:tcW w:w="702" w:type="dxa"/>
            <w:vMerge w:val="continue"/>
            <w:vAlign w:val="center"/>
          </w:tcPr>
          <w:p w14:paraId="78E6ADD2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  <w:tc>
          <w:tcPr>
            <w:tcW w:w="1261" w:type="dxa"/>
            <w:vMerge w:val="continue"/>
            <w:vAlign w:val="center"/>
          </w:tcPr>
          <w:p w14:paraId="44A7408F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  <w:tc>
          <w:tcPr>
            <w:tcW w:w="848" w:type="dxa"/>
            <w:vMerge w:val="continue"/>
            <w:vAlign w:val="center"/>
          </w:tcPr>
          <w:p w14:paraId="5F647DBF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</w:tr>
      <w:tr w14:paraId="60FCA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517" w:type="dxa"/>
            <w:vMerge w:val="continue"/>
            <w:vAlign w:val="center"/>
          </w:tcPr>
          <w:p w14:paraId="7CDDDF20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66C5B75F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2026</w:t>
            </w:r>
            <w:r>
              <w:rPr>
                <w:rFonts w:ascii="仿宋" w:hAnsi="仿宋" w:eastAsia="仿宋" w:cs="仿宋"/>
                <w:bCs/>
                <w:sz w:val="24"/>
              </w:rPr>
              <w:t>2</w:t>
            </w:r>
            <w:r>
              <w:rPr>
                <w:rFonts w:hint="eastAsia" w:ascii="仿宋" w:hAnsi="仿宋" w:eastAsia="仿宋" w:cs="仿宋"/>
                <w:bCs/>
                <w:sz w:val="24"/>
              </w:rPr>
              <w:t>0</w:t>
            </w:r>
            <w:r>
              <w:rPr>
                <w:rFonts w:ascii="仿宋" w:hAnsi="仿宋" w:eastAsia="仿宋" w:cs="仿宋"/>
                <w:bCs/>
                <w:sz w:val="24"/>
              </w:rPr>
              <w:t>5</w:t>
            </w:r>
          </w:p>
        </w:tc>
        <w:tc>
          <w:tcPr>
            <w:tcW w:w="838" w:type="dxa"/>
            <w:vAlign w:val="center"/>
          </w:tcPr>
          <w:p w14:paraId="4A18B551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2</w:t>
            </w:r>
          </w:p>
        </w:tc>
        <w:tc>
          <w:tcPr>
            <w:tcW w:w="3718" w:type="dxa"/>
            <w:vAlign w:val="center"/>
          </w:tcPr>
          <w:p w14:paraId="30F0BD4B">
            <w:pPr>
              <w:tabs>
                <w:tab w:val="left" w:pos="1680"/>
              </w:tabs>
              <w:spacing w:line="260" w:lineRule="exact"/>
              <w:jc w:val="left"/>
              <w:rPr>
                <w:rFonts w:ascii="仿宋" w:hAnsi="仿宋" w:eastAsia="仿宋" w:cs="仿宋"/>
                <w:bCs/>
                <w:sz w:val="22"/>
              </w:rPr>
            </w:pPr>
            <w:r>
              <w:rPr>
                <w:rFonts w:hint="eastAsia" w:ascii="仿宋" w:hAnsi="仿宋" w:eastAsia="仿宋" w:cs="仿宋"/>
                <w:bCs/>
                <w:sz w:val="22"/>
              </w:rPr>
              <w:t>电气工程、能源动力</w:t>
            </w:r>
          </w:p>
        </w:tc>
        <w:tc>
          <w:tcPr>
            <w:tcW w:w="702" w:type="dxa"/>
            <w:vMerge w:val="continue"/>
            <w:vAlign w:val="center"/>
          </w:tcPr>
          <w:p w14:paraId="1E9AAA0F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  <w:tc>
          <w:tcPr>
            <w:tcW w:w="702" w:type="dxa"/>
            <w:vMerge w:val="continue"/>
            <w:vAlign w:val="center"/>
          </w:tcPr>
          <w:p w14:paraId="2E7AC3B0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  <w:tc>
          <w:tcPr>
            <w:tcW w:w="1261" w:type="dxa"/>
            <w:vMerge w:val="continue"/>
            <w:vAlign w:val="center"/>
          </w:tcPr>
          <w:p w14:paraId="36B2004B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  <w:tc>
          <w:tcPr>
            <w:tcW w:w="848" w:type="dxa"/>
            <w:vMerge w:val="continue"/>
            <w:vAlign w:val="center"/>
          </w:tcPr>
          <w:p w14:paraId="65C2106A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</w:tr>
      <w:tr w14:paraId="29FF8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517" w:type="dxa"/>
            <w:vMerge w:val="continue"/>
            <w:vAlign w:val="center"/>
          </w:tcPr>
          <w:p w14:paraId="57331AE1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  <w:tc>
          <w:tcPr>
            <w:tcW w:w="1056" w:type="dxa"/>
            <w:vAlign w:val="center"/>
          </w:tcPr>
          <w:p w14:paraId="5E9AFCFB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2026</w:t>
            </w:r>
            <w:r>
              <w:rPr>
                <w:rFonts w:ascii="仿宋" w:hAnsi="仿宋" w:eastAsia="仿宋" w:cs="仿宋"/>
                <w:bCs/>
                <w:sz w:val="24"/>
              </w:rPr>
              <w:t>2</w:t>
            </w:r>
            <w:r>
              <w:rPr>
                <w:rFonts w:hint="eastAsia" w:ascii="仿宋" w:hAnsi="仿宋" w:eastAsia="仿宋" w:cs="仿宋"/>
                <w:bCs/>
                <w:sz w:val="24"/>
              </w:rPr>
              <w:t>0</w:t>
            </w:r>
            <w:r>
              <w:rPr>
                <w:rFonts w:ascii="仿宋" w:hAnsi="仿宋" w:eastAsia="仿宋" w:cs="仿宋"/>
                <w:bCs/>
                <w:sz w:val="24"/>
              </w:rPr>
              <w:t>6</w:t>
            </w:r>
          </w:p>
        </w:tc>
        <w:tc>
          <w:tcPr>
            <w:tcW w:w="838" w:type="dxa"/>
            <w:vAlign w:val="center"/>
          </w:tcPr>
          <w:p w14:paraId="7AE821D1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ascii="仿宋" w:hAnsi="仿宋" w:eastAsia="仿宋" w:cs="仿宋"/>
                <w:bCs/>
                <w:sz w:val="24"/>
              </w:rPr>
              <w:t>2</w:t>
            </w:r>
          </w:p>
        </w:tc>
        <w:tc>
          <w:tcPr>
            <w:tcW w:w="3718" w:type="dxa"/>
            <w:vAlign w:val="center"/>
          </w:tcPr>
          <w:p w14:paraId="366639B3">
            <w:pPr>
              <w:tabs>
                <w:tab w:val="left" w:pos="1680"/>
              </w:tabs>
              <w:spacing w:line="260" w:lineRule="exact"/>
              <w:jc w:val="left"/>
              <w:rPr>
                <w:rFonts w:ascii="仿宋" w:hAnsi="仿宋" w:eastAsia="仿宋" w:cs="仿宋"/>
                <w:bCs/>
                <w:sz w:val="22"/>
              </w:rPr>
            </w:pPr>
            <w:r>
              <w:rPr>
                <w:rFonts w:hint="eastAsia" w:ascii="仿宋" w:hAnsi="仿宋" w:eastAsia="仿宋" w:cs="仿宋"/>
                <w:bCs/>
                <w:sz w:val="22"/>
              </w:rPr>
              <w:t>数学、系统科学、统计学</w:t>
            </w:r>
          </w:p>
        </w:tc>
        <w:tc>
          <w:tcPr>
            <w:tcW w:w="702" w:type="dxa"/>
            <w:vMerge w:val="continue"/>
            <w:vAlign w:val="center"/>
          </w:tcPr>
          <w:p w14:paraId="0AC05BBA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  <w:tc>
          <w:tcPr>
            <w:tcW w:w="702" w:type="dxa"/>
            <w:vMerge w:val="continue"/>
            <w:vAlign w:val="center"/>
          </w:tcPr>
          <w:p w14:paraId="108B9DEE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  <w:tc>
          <w:tcPr>
            <w:tcW w:w="1261" w:type="dxa"/>
            <w:vMerge w:val="continue"/>
            <w:vAlign w:val="center"/>
          </w:tcPr>
          <w:p w14:paraId="57365F25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  <w:tc>
          <w:tcPr>
            <w:tcW w:w="848" w:type="dxa"/>
            <w:vMerge w:val="continue"/>
            <w:vAlign w:val="center"/>
          </w:tcPr>
          <w:p w14:paraId="5BECE44F">
            <w:pPr>
              <w:spacing w:line="400" w:lineRule="exact"/>
              <w:jc w:val="center"/>
              <w:rPr>
                <w:rFonts w:ascii="仿宋" w:hAnsi="仿宋" w:eastAsia="仿宋" w:cs="仿宋"/>
                <w:bCs/>
                <w:sz w:val="24"/>
              </w:rPr>
            </w:pPr>
          </w:p>
        </w:tc>
      </w:tr>
    </w:tbl>
    <w:p w14:paraId="0BE652ED"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2A08BB60-BDE3-43D6-90E6-09F0611EF0E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41A7CD03-A9B6-430C-BEBC-D127AED3886D}"/>
  </w:font>
  <w:font w:name="仿宋_GB2312">
    <w:altName w:val="仿宋"/>
    <w:panose1 w:val="02010609030001010101"/>
    <w:charset w:val="86"/>
    <w:family w:val="modern"/>
    <w:pitch w:val="default"/>
    <w:sig w:usb0="00000000" w:usb1="00000000" w:usb2="00000010" w:usb3="00000000" w:csb0="00040000" w:csb1="00000000"/>
    <w:embedRegular r:id="rId3" w:fontKey="{A0DA4DE1-6BD2-4AB0-A6EB-507ABC8A07B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E2199121-B2DD-4D6C-8F5E-833538D61484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345D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iPriority w:val="1"/>
  </w:style>
  <w:style w:type="table" w:default="1" w:styleId="5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99"/>
    <w:rPr>
      <w:sz w:val="18"/>
      <w:szCs w:val="18"/>
    </w:rPr>
  </w:style>
  <w:style w:type="paragraph" w:styleId="3">
    <w:name w:val="footer"/>
    <w:basedOn w:val="1"/>
    <w:link w:val="8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294</Words>
  <Characters>398</Characters>
  <Paragraphs>88</Paragraphs>
  <TotalTime>22</TotalTime>
  <ScaleCrop>false</ScaleCrop>
  <LinksUpToDate>false</LinksUpToDate>
  <CharactersWithSpaces>398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2026-10-27T03:28:00Z</dcterms:created>
  <dc:creator>Administrator</dc:creator>
  <cp:lastModifiedBy>Lzhang</cp:lastModifiedBy>
  <cp:lastPrinted>2026-10-30T01:12:00Z</cp:lastPrinted>
  <dcterms:modified xsi:type="dcterms:W3CDTF">2026-10-30T09:09:05Z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e9267bdfbb624c6aa4edd2be57fbc593_23</vt:lpwstr>
  </property>
  <property fmtid="{D5CDD505-2E9C-101B-9397-08002B2CF9AE}" pid="3" name="KSOTemplateDocerSaveRecord">
    <vt:lpwstr>eyJoZGlkIjoiNzk1ZmE1YTBjZmNkZGY2ZTM4ODg1MWYwYWFjN2RjZjciLCJ1c2VySWQiOiIyODE3MTE2ODQifQ==</vt:lpwstr>
  </property>
  <property fmtid="{D5CDD505-2E9C-101B-9397-08002B2CF9AE}" pid="4" name="KSOProductBuildVer">
    <vt:lpwstr>2052-12.1.0.29161</vt:lpwstr>
  </property>
</Properties>
</file>